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8D" w:rsidRDefault="00C2595E" w:rsidP="00C2595E">
      <w:pPr>
        <w:jc w:val="center"/>
        <w:rPr>
          <w:rFonts w:ascii="Arial Unicode MS" w:eastAsia="文鼎粗行楷" w:hAnsi="Arial Unicode MS"/>
          <w:sz w:val="32"/>
          <w:szCs w:val="32"/>
        </w:rPr>
      </w:pPr>
      <w:r w:rsidRPr="00C2595E">
        <w:rPr>
          <w:rFonts w:ascii="Arial Unicode MS" w:eastAsia="文鼎粗行楷" w:hAnsi="Arial Unicode MS" w:hint="eastAsia"/>
          <w:sz w:val="32"/>
          <w:szCs w:val="32"/>
        </w:rPr>
        <w:t>南</w:t>
      </w:r>
      <w:proofErr w:type="gramStart"/>
      <w:r w:rsidRPr="00C2595E">
        <w:rPr>
          <w:rFonts w:ascii="Arial Unicode MS" w:eastAsia="文鼎粗行楷" w:hAnsi="Arial Unicode MS" w:hint="eastAsia"/>
          <w:sz w:val="32"/>
          <w:szCs w:val="32"/>
        </w:rPr>
        <w:t>臺</w:t>
      </w:r>
      <w:proofErr w:type="gramEnd"/>
      <w:r w:rsidRPr="00C2595E">
        <w:rPr>
          <w:rFonts w:ascii="Arial Unicode MS" w:eastAsia="文鼎粗行楷" w:hAnsi="Arial Unicode MS" w:hint="eastAsia"/>
          <w:sz w:val="32"/>
          <w:szCs w:val="32"/>
        </w:rPr>
        <w:t>科技大學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 xml:space="preserve"> 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>師資培育中心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>103</w:t>
      </w:r>
      <w:r w:rsidR="00C94531">
        <w:rPr>
          <w:rFonts w:ascii="Arial Unicode MS" w:eastAsia="文鼎粗行楷" w:hAnsi="Arial Unicode MS" w:hint="eastAsia"/>
          <w:sz w:val="32"/>
          <w:szCs w:val="32"/>
        </w:rPr>
        <w:t>學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>年第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>2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>學期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 xml:space="preserve"> </w:t>
      </w:r>
      <w:r w:rsidRPr="00C2595E">
        <w:rPr>
          <w:rFonts w:ascii="Arial Unicode MS" w:eastAsia="文鼎粗行楷" w:hAnsi="Arial Unicode MS" w:hint="eastAsia"/>
          <w:sz w:val="32"/>
          <w:szCs w:val="32"/>
        </w:rPr>
        <w:t>教育</w:t>
      </w:r>
      <w:proofErr w:type="gramStart"/>
      <w:r w:rsidRPr="00C2595E">
        <w:rPr>
          <w:rFonts w:ascii="Arial Unicode MS" w:eastAsia="文鼎粗行楷" w:hAnsi="Arial Unicode MS" w:hint="eastAsia"/>
          <w:sz w:val="32"/>
          <w:szCs w:val="32"/>
        </w:rPr>
        <w:t>哲</w:t>
      </w:r>
      <w:proofErr w:type="gramEnd"/>
      <w:r w:rsidRPr="00C2595E">
        <w:rPr>
          <w:rFonts w:ascii="Arial Unicode MS" w:eastAsia="文鼎粗行楷" w:hAnsi="Arial Unicode MS" w:hint="eastAsia"/>
          <w:sz w:val="32"/>
          <w:szCs w:val="32"/>
        </w:rPr>
        <w:t>學科期中考試卷</w:t>
      </w:r>
    </w:p>
    <w:p w:rsidR="00C2595E" w:rsidRDefault="00C2595E" w:rsidP="00C2595E">
      <w:pPr>
        <w:wordWrap w:val="0"/>
        <w:jc w:val="right"/>
        <w:rPr>
          <w:rFonts w:ascii="標楷體" w:eastAsia="標楷體" w:hAnsi="標楷體" w:cs="細明體"/>
          <w:sz w:val="28"/>
          <w:szCs w:val="28"/>
        </w:rPr>
      </w:pPr>
      <w:r w:rsidRPr="00C2595E">
        <w:rPr>
          <w:rFonts w:ascii="標楷體" w:eastAsia="標楷體" w:hAnsi="標楷體" w:hint="eastAsia"/>
          <w:sz w:val="28"/>
          <w:szCs w:val="28"/>
        </w:rPr>
        <w:t>姓名：</w:t>
      </w:r>
      <w:r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Default="00C2595E" w:rsidP="00C2595E">
      <w:pPr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一、選擇題（每題3分）</w:t>
      </w:r>
    </w:p>
    <w:p w:rsidR="00C2595E" w:rsidRPr="00EA29C6" w:rsidRDefault="00C2595E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 w:rsidRPr="00EA29C6">
        <w:rPr>
          <w:rFonts w:ascii="標楷體" w:eastAsia="標楷體" w:hAnsi="標楷體" w:hint="eastAsia"/>
          <w:sz w:val="28"/>
          <w:szCs w:val="28"/>
        </w:rPr>
        <w:t>下列何者並非將哲學</w:t>
      </w:r>
      <w:r w:rsidR="00C52AF1">
        <w:rPr>
          <w:rFonts w:ascii="標楷體" w:eastAsia="標楷體" w:hAnsi="標楷體" w:hint="eastAsia"/>
          <w:sz w:val="28"/>
          <w:szCs w:val="28"/>
        </w:rPr>
        <w:t>敘述</w:t>
      </w:r>
      <w:r w:rsidRPr="00EA29C6">
        <w:rPr>
          <w:rFonts w:ascii="標楷體" w:eastAsia="標楷體" w:hAnsi="標楷體" w:hint="eastAsia"/>
          <w:sz w:val="28"/>
          <w:szCs w:val="28"/>
        </w:rPr>
        <w:t>為「是科學的科學」之適</w:t>
      </w:r>
      <w:r w:rsidR="00C52AF1">
        <w:rPr>
          <w:rFonts w:ascii="標楷體" w:eastAsia="標楷體" w:hAnsi="標楷體" w:hint="eastAsia"/>
          <w:sz w:val="28"/>
          <w:szCs w:val="28"/>
        </w:rPr>
        <w:t>當</w:t>
      </w:r>
      <w:r w:rsidRPr="00EA29C6">
        <w:rPr>
          <w:rFonts w:ascii="標楷體" w:eastAsia="標楷體" w:hAnsi="標楷體" w:hint="eastAsia"/>
          <w:sz w:val="28"/>
          <w:szCs w:val="28"/>
        </w:rPr>
        <w:t>原由？</w:t>
      </w:r>
      <w:r w:rsidRPr="00EA29C6">
        <w:rPr>
          <w:rFonts w:ascii="標楷體" w:eastAsia="標楷體" w:hAnsi="標楷體"/>
          <w:sz w:val="28"/>
          <w:szCs w:val="28"/>
        </w:rPr>
        <w:br/>
      </w:r>
      <w:r w:rsidRPr="00EA29C6">
        <w:rPr>
          <w:rFonts w:ascii="標楷體" w:eastAsia="標楷體" w:hAnsi="標楷體" w:hint="eastAsia"/>
          <w:sz w:val="28"/>
          <w:szCs w:val="28"/>
        </w:rPr>
        <w:t>(1)其對一般科學研究</w:t>
      </w:r>
      <w:r w:rsidR="00C52AF1">
        <w:rPr>
          <w:rFonts w:ascii="標楷體" w:eastAsia="標楷體" w:hAnsi="標楷體" w:hint="eastAsia"/>
          <w:sz w:val="28"/>
          <w:szCs w:val="28"/>
        </w:rPr>
        <w:t>具</w:t>
      </w:r>
      <w:r w:rsidRPr="00EA29C6">
        <w:rPr>
          <w:rFonts w:ascii="標楷體" w:eastAsia="標楷體" w:hAnsi="標楷體" w:hint="eastAsia"/>
          <w:sz w:val="28"/>
          <w:szCs w:val="28"/>
        </w:rPr>
        <w:t>指導與批判功能</w:t>
      </w:r>
      <w:r w:rsidR="00EA29C6" w:rsidRPr="00EA29C6">
        <w:rPr>
          <w:rFonts w:ascii="標楷體" w:eastAsia="標楷體" w:hAnsi="標楷體" w:hint="eastAsia"/>
          <w:sz w:val="28"/>
          <w:szCs w:val="28"/>
        </w:rPr>
        <w:t xml:space="preserve"> (2)其是各種科學的母學門 (3)其所探究的是一切學術的原理原則 </w:t>
      </w:r>
      <w:r w:rsidR="008A2A74">
        <w:rPr>
          <w:rFonts w:ascii="標楷體" w:eastAsia="標楷體" w:hAnsi="標楷體"/>
          <w:sz w:val="28"/>
          <w:szCs w:val="28"/>
        </w:rPr>
        <w:br/>
      </w:r>
      <w:r w:rsidR="00EA29C6" w:rsidRPr="00EA29C6">
        <w:rPr>
          <w:rFonts w:ascii="標楷體" w:eastAsia="標楷體" w:hAnsi="標楷體" w:hint="eastAsia"/>
          <w:sz w:val="28"/>
          <w:szCs w:val="28"/>
        </w:rPr>
        <w:t>(4)其研究方法比科學更具科學精神。</w:t>
      </w:r>
    </w:p>
    <w:p w:rsidR="00EA29C6" w:rsidRPr="00EA29C6" w:rsidRDefault="00EA29C6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A29C6">
        <w:rPr>
          <w:rFonts w:ascii="標楷體" w:eastAsia="標楷體" w:hAnsi="標楷體" w:hint="eastAsia"/>
          <w:sz w:val="28"/>
          <w:szCs w:val="28"/>
        </w:rPr>
        <w:t>依斯賓塞(H. Spencer)之觀點，下列何</w:t>
      </w:r>
      <w:r w:rsidR="00C52AF1">
        <w:rPr>
          <w:rFonts w:ascii="標楷體" w:eastAsia="標楷體" w:hAnsi="標楷體" w:hint="eastAsia"/>
          <w:sz w:val="28"/>
          <w:szCs w:val="28"/>
        </w:rPr>
        <w:t>種</w:t>
      </w:r>
      <w:r w:rsidRPr="00EA29C6">
        <w:rPr>
          <w:rFonts w:ascii="標楷體" w:eastAsia="標楷體" w:hAnsi="標楷體" w:hint="eastAsia"/>
          <w:sz w:val="28"/>
          <w:szCs w:val="28"/>
        </w:rPr>
        <w:t>學問或知識最具教育價值？</w:t>
      </w:r>
      <w:r w:rsidRPr="00EA29C6">
        <w:rPr>
          <w:rFonts w:ascii="標楷體" w:eastAsia="標楷體" w:hAnsi="標楷體"/>
          <w:sz w:val="28"/>
          <w:szCs w:val="28"/>
        </w:rPr>
        <w:br/>
      </w:r>
      <w:r w:rsidRPr="00EA29C6">
        <w:rPr>
          <w:rFonts w:ascii="標楷體" w:eastAsia="標楷體" w:hAnsi="標楷體" w:hint="eastAsia"/>
          <w:sz w:val="28"/>
          <w:szCs w:val="28"/>
        </w:rPr>
        <w:t>(1)保健 (2)音樂 (3)公民 (4)家政。</w:t>
      </w:r>
    </w:p>
    <w:p w:rsidR="00EA29C6" w:rsidRDefault="00EA29C6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A29C6">
        <w:rPr>
          <w:rFonts w:ascii="標楷體" w:eastAsia="標楷體" w:hAnsi="標楷體" w:hint="eastAsia"/>
          <w:sz w:val="28"/>
          <w:szCs w:val="28"/>
        </w:rPr>
        <w:t>下列</w:t>
      </w:r>
      <w:r>
        <w:rPr>
          <w:rFonts w:ascii="標楷體" w:eastAsia="標楷體" w:hAnsi="標楷體" w:hint="eastAsia"/>
          <w:sz w:val="28"/>
          <w:szCs w:val="28"/>
        </w:rPr>
        <w:t>何種哲學方法最強調應持續對事物或思想的正面及反面加以觀看、思索，並進一步試圖整合出新觀點？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演譯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(2)歸納 (3)辯證 (4)比較批判。</w:t>
      </w:r>
    </w:p>
    <w:p w:rsidR="00EA29C6" w:rsidRDefault="00EA29C6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下列有關教育本質的說法，何者不是杜威(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J.Dewey</w:t>
      </w:r>
      <w:proofErr w:type="spellEnd"/>
      <w:r>
        <w:rPr>
          <w:rFonts w:ascii="標楷體" w:eastAsia="標楷體" w:hAnsi="標楷體" w:hint="eastAsia"/>
          <w:sz w:val="28"/>
          <w:szCs w:val="28"/>
        </w:rPr>
        <w:t>)的主張？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(1)教育即生長 (2)教育即生活 (3)教育即經驗的改造 (4)教育即生活預備。</w:t>
      </w:r>
    </w:p>
    <w:p w:rsidR="00EA29C6" w:rsidRDefault="00EA29C6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下列哲學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門派何者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最看</w:t>
      </w:r>
      <w:r w:rsidR="00C52AF1">
        <w:rPr>
          <w:rFonts w:ascii="標楷體" w:eastAsia="標楷體" w:hAnsi="標楷體" w:hint="eastAsia"/>
          <w:sz w:val="28"/>
          <w:szCs w:val="28"/>
        </w:rPr>
        <w:t>輕</w:t>
      </w:r>
      <w:r>
        <w:rPr>
          <w:rFonts w:ascii="標楷體" w:eastAsia="標楷體" w:hAnsi="標楷體" w:hint="eastAsia"/>
          <w:sz w:val="28"/>
          <w:szCs w:val="28"/>
        </w:rPr>
        <w:t>讀「書」在兒童教育活動中的價值？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(1)文化主義 (2)國家主義 (3)自然主義 (4)理想主義。</w:t>
      </w:r>
    </w:p>
    <w:p w:rsidR="00EA29C6" w:rsidRDefault="00EA29C6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有關杜威「教育無目的」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說的解釋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0A147E">
        <w:rPr>
          <w:rFonts w:ascii="標楷體" w:eastAsia="標楷體" w:hAnsi="標楷體" w:hint="eastAsia"/>
          <w:sz w:val="28"/>
          <w:szCs w:val="28"/>
        </w:rPr>
        <w:t>何者不適當？</w:t>
      </w:r>
      <w:r w:rsidR="000A147E">
        <w:rPr>
          <w:rFonts w:ascii="標楷體" w:eastAsia="標楷體" w:hAnsi="標楷體"/>
          <w:sz w:val="28"/>
          <w:szCs w:val="28"/>
        </w:rPr>
        <w:br/>
      </w:r>
      <w:r w:rsidR="000A147E">
        <w:rPr>
          <w:rFonts w:ascii="標楷體" w:eastAsia="標楷體" w:hAnsi="標楷體" w:hint="eastAsia"/>
          <w:sz w:val="28"/>
          <w:szCs w:val="28"/>
        </w:rPr>
        <w:t>(1)教育過程本身就是目的 (2)教育不應強調工具性目的 (3)教育目的要隨教育經驗的發展而調整 (4)教育人員從事教育工作時不該有教育目的。</w:t>
      </w:r>
    </w:p>
    <w:p w:rsidR="000A147E" w:rsidRDefault="000A147E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主張教育活動首重記憶、推理和想像等心智能力之訓練者，係</w:t>
      </w:r>
      <w:r w:rsidR="004C0AA0">
        <w:rPr>
          <w:rFonts w:ascii="標楷體" w:eastAsia="標楷體" w:hAnsi="標楷體" w:hint="eastAsia"/>
          <w:sz w:val="28"/>
          <w:szCs w:val="28"/>
        </w:rPr>
        <w:t>：</w:t>
      </w:r>
      <w:r w:rsidR="004C0AA0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(1)心靈實體說(2)心靈狀態說 (3)唯物主義心靈論 (4)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完形派心靈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論。</w:t>
      </w:r>
    </w:p>
    <w:p w:rsidR="000A147E" w:rsidRDefault="000A147E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對理性主義和經驗主義兩極端知識論加以調和，而且在立場上較接近理想主義這端的知識論是</w:t>
      </w:r>
      <w:r w:rsidR="008A2A74">
        <w:rPr>
          <w:rFonts w:ascii="標楷體" w:eastAsia="標楷體" w:hAnsi="標楷體" w:hint="eastAsia"/>
          <w:sz w:val="28"/>
          <w:szCs w:val="28"/>
        </w:rPr>
        <w:t>：</w:t>
      </w:r>
      <w:r w:rsidR="008A2A74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(1)批判(評)主義 (2)實驗主義 (3)觀念分析學派 (4)存在主義。</w:t>
      </w:r>
    </w:p>
    <w:p w:rsidR="000A147E" w:rsidRDefault="000A147E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蘇格拉底(Socrates)主張採用強調詰問的產婆式教學法，表示其屬何種知識論？</w:t>
      </w:r>
      <w:r w:rsidR="004C0AA0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(1)理性主義 (2)經驗主義 (3)批判主義 (4)實驗主義。</w:t>
      </w:r>
    </w:p>
    <w:p w:rsidR="000A147E" w:rsidRDefault="000A147E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下列哲學門派中最重視戲劇和文學之教育價值的是：(1)自然主義 (2)理性主義 (3)邏輯實證主義 (4)存在主義。</w:t>
      </w:r>
    </w:p>
    <w:p w:rsidR="000A147E" w:rsidRDefault="000A147E" w:rsidP="00C94531">
      <w:pPr>
        <w:pStyle w:val="a3"/>
        <w:numPr>
          <w:ilvl w:val="0"/>
          <w:numId w:val="1"/>
        </w:numPr>
        <w:spacing w:beforeLines="50" w:after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主張知識與社會結構中的權力運作密不可分的是(1)經驗主義 (2)建構主義 (3)現象學 (4)批判理論。</w:t>
      </w:r>
    </w:p>
    <w:p w:rsidR="000A147E" w:rsidRDefault="000A147E" w:rsidP="000A147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二、簡答題（每題6分）</w:t>
      </w:r>
    </w:p>
    <w:p w:rsidR="000A147E" w:rsidRDefault="006E4681" w:rsidP="00C94531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1.為什麼教育哲學家會主張「哲學是教育的普遍原理」？</w:t>
      </w:r>
    </w:p>
    <w:p w:rsidR="006E4681" w:rsidRDefault="006E4681" w:rsidP="00C94531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2.請簡要說明文化主義的教育目的。</w:t>
      </w:r>
    </w:p>
    <w:p w:rsidR="006E4681" w:rsidRDefault="006E4681" w:rsidP="00C94531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3.請比較心靈實體說和心靈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狀態說對心靈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的看法。</w:t>
      </w:r>
    </w:p>
    <w:p w:rsidR="00E9364F" w:rsidRDefault="00E9364F" w:rsidP="00C94531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4.被邏輯實證主義列為不可知的神祕領域之思想範疇有哪些？為什麼？</w:t>
      </w:r>
    </w:p>
    <w:p w:rsidR="00E9364F" w:rsidRDefault="00E9364F" w:rsidP="00C94531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5.現象學知識論對教師的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教學具哪些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重要啟示？</w:t>
      </w:r>
    </w:p>
    <w:p w:rsidR="00E9364F" w:rsidRDefault="00E9364F" w:rsidP="00E9364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三、申論題（每題20分）</w:t>
      </w:r>
    </w:p>
    <w:p w:rsidR="00E9364F" w:rsidRDefault="00E9364F" w:rsidP="00C94531">
      <w:pPr>
        <w:spacing w:beforeLines="50" w:afterLines="50"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1.觀念分析學派教育哲學家皮德思(Peters)主張教育需符合哪三大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？為什麼？請就每一規準各舉</w:t>
      </w:r>
      <w:r w:rsidR="00C52AF1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說明其理由。</w:t>
      </w:r>
    </w:p>
    <w:p w:rsidR="00E9364F" w:rsidRDefault="00E9364F" w:rsidP="00C94531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2.建構主義知識論主張知識如何形成？其對教師之教學有哪些重要啟示？</w:t>
      </w:r>
    </w:p>
    <w:p w:rsidR="00E9364F" w:rsidRPr="00E9364F" w:rsidRDefault="00E9364F" w:rsidP="003674B9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</w:p>
    <w:sectPr w:rsidR="00E9364F" w:rsidRPr="00E9364F" w:rsidSect="00E936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03" w:rsidRDefault="00C91403" w:rsidP="00C94531">
      <w:r>
        <w:separator/>
      </w:r>
    </w:p>
  </w:endnote>
  <w:endnote w:type="continuationSeparator" w:id="0">
    <w:p w:rsidR="00C91403" w:rsidRDefault="00C91403" w:rsidP="00C9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03" w:rsidRDefault="00C91403" w:rsidP="00C94531">
      <w:r>
        <w:separator/>
      </w:r>
    </w:p>
  </w:footnote>
  <w:footnote w:type="continuationSeparator" w:id="0">
    <w:p w:rsidR="00C91403" w:rsidRDefault="00C91403" w:rsidP="00C9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5E"/>
    <w:rsid w:val="000A147E"/>
    <w:rsid w:val="003674B9"/>
    <w:rsid w:val="004C0AA0"/>
    <w:rsid w:val="0061058D"/>
    <w:rsid w:val="006E4681"/>
    <w:rsid w:val="008A2A74"/>
    <w:rsid w:val="00C2595E"/>
    <w:rsid w:val="00C52AF1"/>
    <w:rsid w:val="00C91403"/>
    <w:rsid w:val="00C94531"/>
    <w:rsid w:val="00E9364F"/>
    <w:rsid w:val="00EA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45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2015-04-24T06:37:00Z</dcterms:created>
  <dcterms:modified xsi:type="dcterms:W3CDTF">2015-04-24T10:22:00Z</dcterms:modified>
</cp:coreProperties>
</file>